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723E2" w14:textId="12378E53"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84404C">
        <w:rPr>
          <w:rFonts w:eastAsia="Calibri" w:cs="Arial"/>
          <w:b/>
          <w:bCs/>
          <w:sz w:val="24"/>
          <w:szCs w:val="21"/>
        </w:rPr>
        <w:t>1</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D7516C" w:rsidRPr="00D7516C">
        <w:rPr>
          <w:rFonts w:eastAsia="Calibri" w:cs="Arial"/>
          <w:b/>
          <w:bCs/>
          <w:sz w:val="24"/>
          <w:szCs w:val="21"/>
        </w:rPr>
        <w:t>R1-2504441</w:t>
      </w:r>
    </w:p>
    <w:bookmarkEnd w:id="0"/>
    <w:p w14:paraId="7D9866EB" w14:textId="7D902803" w:rsidR="002A4FEA" w:rsidRPr="000153E7" w:rsidRDefault="00D01F81" w:rsidP="002A4FEA">
      <w:pPr>
        <w:pStyle w:val="CRCoverPage"/>
        <w:tabs>
          <w:tab w:val="right" w:pos="9639"/>
        </w:tabs>
        <w:spacing w:after="0"/>
        <w:rPr>
          <w:b/>
          <w:sz w:val="24"/>
        </w:rPr>
      </w:pPr>
      <w:r w:rsidRPr="00D01F81">
        <w:rPr>
          <w:rFonts w:eastAsia="MS Mincho"/>
          <w:b/>
          <w:bCs/>
          <w:sz w:val="24"/>
          <w:szCs w:val="21"/>
          <w:lang w:eastAsia="ja-JP"/>
        </w:rPr>
        <w:t>St Julian’s, Malta</w:t>
      </w:r>
      <w:r w:rsidR="002A4FEA">
        <w:rPr>
          <w:rFonts w:eastAsia="MS Mincho"/>
          <w:b/>
          <w:bCs/>
          <w:sz w:val="24"/>
          <w:szCs w:val="21"/>
          <w:lang w:eastAsia="ja-JP"/>
        </w:rPr>
        <w:t xml:space="preserve">, </w:t>
      </w:r>
      <w:r>
        <w:rPr>
          <w:rFonts w:eastAsia="MS Mincho"/>
          <w:b/>
          <w:bCs/>
          <w:sz w:val="24"/>
          <w:szCs w:val="21"/>
          <w:lang w:eastAsia="ja-JP"/>
        </w:rPr>
        <w:t>May</w:t>
      </w:r>
      <w:r w:rsidR="002A4FEA" w:rsidRPr="000153E7">
        <w:rPr>
          <w:rFonts w:eastAsia="MS Mincho"/>
          <w:b/>
          <w:bCs/>
          <w:sz w:val="24"/>
          <w:szCs w:val="21"/>
          <w:lang w:eastAsia="ja-JP"/>
        </w:rPr>
        <w:t xml:space="preserve"> </w:t>
      </w:r>
      <w:r>
        <w:rPr>
          <w:rFonts w:eastAsia="MS Mincho"/>
          <w:b/>
          <w:bCs/>
          <w:sz w:val="24"/>
          <w:szCs w:val="21"/>
          <w:lang w:eastAsia="ja-JP"/>
        </w:rPr>
        <w:t>16</w:t>
      </w:r>
      <w:r w:rsidR="002A4FEA" w:rsidRPr="00741C7B">
        <w:rPr>
          <w:rFonts w:eastAsia="MS Mincho"/>
          <w:b/>
          <w:bCs/>
          <w:sz w:val="24"/>
          <w:szCs w:val="21"/>
          <w:vertAlign w:val="superscript"/>
          <w:lang w:eastAsia="ja-JP"/>
        </w:rPr>
        <w:t>th</w:t>
      </w:r>
      <w:r w:rsidR="002A4FEA" w:rsidRPr="000153E7">
        <w:rPr>
          <w:rFonts w:eastAsia="MS Mincho"/>
          <w:b/>
          <w:bCs/>
          <w:sz w:val="24"/>
          <w:szCs w:val="21"/>
          <w:lang w:eastAsia="ja-JP"/>
        </w:rPr>
        <w:t xml:space="preserve"> – </w:t>
      </w:r>
      <w:r>
        <w:rPr>
          <w:rFonts w:eastAsia="MS Mincho"/>
          <w:b/>
          <w:bCs/>
          <w:sz w:val="24"/>
          <w:szCs w:val="21"/>
          <w:lang w:eastAsia="ja-JP"/>
        </w:rPr>
        <w:t>23</w:t>
      </w:r>
      <w:r w:rsidRPr="00D01F81">
        <w:rPr>
          <w:rFonts w:eastAsia="MS Mincho"/>
          <w:b/>
          <w:bCs/>
          <w:sz w:val="24"/>
          <w:szCs w:val="21"/>
          <w:vertAlign w:val="superscript"/>
          <w:lang w:eastAsia="ja-JP"/>
        </w:rPr>
        <w:t>rd</w:t>
      </w:r>
      <w:r>
        <w:rPr>
          <w:rFonts w:eastAsia="MS Mincho"/>
          <w:b/>
          <w:bCs/>
          <w:sz w:val="24"/>
          <w:szCs w:val="21"/>
          <w:lang w:eastAsia="ja-JP"/>
        </w:rPr>
        <w:t>,</w:t>
      </w:r>
      <w:r w:rsidR="002A4FEA" w:rsidRPr="000153E7">
        <w:rPr>
          <w:rFonts w:eastAsia="MS Mincho"/>
          <w:b/>
          <w:bCs/>
          <w:sz w:val="24"/>
          <w:szCs w:val="21"/>
          <w:lang w:eastAsia="ja-JP"/>
        </w:rPr>
        <w:t xml:space="preserve"> 2025</w:t>
      </w:r>
    </w:p>
    <w:p w14:paraId="45FCDD50" w14:textId="77777777" w:rsidR="00F43039" w:rsidRPr="00CE0424" w:rsidRDefault="00F43039" w:rsidP="00F43039">
      <w:pPr>
        <w:pStyle w:val="3GPPHeader"/>
      </w:pPr>
    </w:p>
    <w:p w14:paraId="10C310FE" w14:textId="05B5DEAB" w:rsidR="00F43039" w:rsidRPr="00B27750" w:rsidRDefault="00F43039" w:rsidP="00F43039">
      <w:pPr>
        <w:pStyle w:val="3GPPHeader"/>
        <w:rPr>
          <w:sz w:val="22"/>
        </w:rPr>
      </w:pPr>
      <w:r w:rsidRPr="00B27750">
        <w:rPr>
          <w:sz w:val="22"/>
        </w:rPr>
        <w:t>Agenda Item:</w:t>
      </w:r>
      <w:r w:rsidRPr="00B27750">
        <w:rPr>
          <w:sz w:val="22"/>
        </w:rPr>
        <w:tab/>
      </w:r>
      <w:r w:rsidR="00551D48">
        <w:rPr>
          <w:sz w:val="22"/>
        </w:rPr>
        <w:t>9.</w:t>
      </w:r>
      <w:r w:rsidR="004A1B01">
        <w:rPr>
          <w:sz w:val="22"/>
        </w:rPr>
        <w:t>15.12</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0C76E078" w:rsidR="00F43039" w:rsidRPr="00CE0424" w:rsidRDefault="00F43039" w:rsidP="00F43039">
      <w:pPr>
        <w:pStyle w:val="3GPPHeader"/>
        <w:rPr>
          <w:sz w:val="22"/>
        </w:rPr>
      </w:pPr>
      <w:r>
        <w:rPr>
          <w:sz w:val="22"/>
        </w:rPr>
        <w:t>Title:</w:t>
      </w:r>
      <w:r w:rsidRPr="00CE0424">
        <w:rPr>
          <w:sz w:val="22"/>
        </w:rPr>
        <w:tab/>
      </w:r>
      <w:r w:rsidR="004A1B01" w:rsidRPr="004A1B01">
        <w:rPr>
          <w:sz w:val="22"/>
        </w:rPr>
        <w:t>UE features for low band CA via switching</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A175F51" w14:textId="16C9C72A" w:rsidR="00F472B6" w:rsidRDefault="00155750" w:rsidP="00155750">
      <w:pPr>
        <w:pStyle w:val="BodyText"/>
      </w:pPr>
      <w:r>
        <w:rPr>
          <w:noProof/>
        </w:rPr>
        <mc:AlternateContent>
          <mc:Choice Requires="wps">
            <w:drawing>
              <wp:anchor distT="45720" distB="45720" distL="114300" distR="114300" simplePos="0" relativeHeight="251658240" behindDoc="0" locked="0" layoutInCell="1" allowOverlap="1" wp14:anchorId="5155F497" wp14:editId="07008FB5">
                <wp:simplePos x="0" y="0"/>
                <wp:positionH relativeFrom="margin">
                  <wp:align>right</wp:align>
                </wp:positionH>
                <wp:positionV relativeFrom="paragraph">
                  <wp:posOffset>438150</wp:posOffset>
                </wp:positionV>
                <wp:extent cx="6096000" cy="4451350"/>
                <wp:effectExtent l="0" t="0" r="19050" b="25400"/>
                <wp:wrapTopAndBottom/>
                <wp:docPr id="762972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451350"/>
                        </a:xfrm>
                        <a:prstGeom prst="rect">
                          <a:avLst/>
                        </a:prstGeom>
                        <a:solidFill>
                          <a:srgbClr val="FFFFFF"/>
                        </a:solidFill>
                        <a:ln w="9525">
                          <a:solidFill>
                            <a:srgbClr val="000000"/>
                          </a:solidFill>
                          <a:miter lim="800000"/>
                          <a:headEnd/>
                          <a:tailEnd/>
                        </a:ln>
                      </wps:spPr>
                      <wps:txb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4A1B01"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4A1B01">
                              <w:rPr>
                                <w:rFonts w:ascii="Times New Roman" w:eastAsia="DengXian" w:hAnsi="Times New Roman" w:cs="Times New Roman"/>
                                <w:szCs w:val="20"/>
                                <w:lang w:val="en-GB" w:eastAsia="en-GB"/>
                              </w:rPr>
                              <w:t>Specify UE requirements, including at least switching gap (if needed), and corresponding physical layer procedures to allow switching between {case 1, case 2} [RAN4, RAN1]</w:t>
                            </w:r>
                          </w:p>
                          <w:p w14:paraId="570D05D6" w14:textId="77777777" w:rsidR="007C7C3E" w:rsidRPr="004A1B01"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Case 1: Tx/Rx on FDD carrier 1 and no Rx on SDL carrier 2</w:t>
                            </w:r>
                          </w:p>
                          <w:p w14:paraId="29A5D981" w14:textId="77777777" w:rsidR="007C7C3E" w:rsidRPr="004A1B01"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Define the corresponding UE capabilities</w:t>
                            </w:r>
                            <w:r w:rsidRPr="007C7C3E">
                              <w:rPr>
                                <w:rFonts w:ascii="Times New Roman" w:eastAsia="DengXian" w:hAnsi="Times New Roman" w:cs="Times New Roman"/>
                                <w:szCs w:val="20"/>
                                <w:lang w:val="en-GB" w:eastAsia="en-GB"/>
                              </w:rPr>
                              <w:t xml:space="preserve"> [RAN4, RAN2,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Note 2: Strive to minimize the RAN1 impact</w:t>
                            </w:r>
                          </w:p>
                          <w:p w14:paraId="2201A149" w14:textId="15A61907" w:rsidR="00155750" w:rsidRDefault="00155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5F497" id="_x0000_t202" coordsize="21600,21600" o:spt="202" path="m,l,21600r21600,l21600,xe">
                <v:stroke joinstyle="miter"/>
                <v:path gradientshapeok="t" o:connecttype="rect"/>
              </v:shapetype>
              <v:shape id="Text Box 2" o:spid="_x0000_s1026" type="#_x0000_t202" style="position:absolute;left:0;text-align:left;margin-left:428.8pt;margin-top:34.5pt;width:480pt;height:350.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">
                <v:textbox>
                  <w:txbxContent>
                    <w:p w14:paraId="3091E724" w14:textId="77777777" w:rsidR="007C7C3E" w:rsidRPr="007C7C3E" w:rsidRDefault="007C7C3E" w:rsidP="007C7C3E">
                      <w:pPr>
                        <w:overflowPunct w:val="0"/>
                        <w:autoSpaceDE w:val="0"/>
                        <w:autoSpaceDN w:val="0"/>
                        <w:adjustRightInd w:val="0"/>
                        <w:spacing w:after="0" w:line="240" w:lineRule="auto"/>
                        <w:textAlignment w:val="baseline"/>
                        <w:rPr>
                          <w:rFonts w:ascii="Times New Roman" w:eastAsia="DengXian" w:hAnsi="Times New Roman" w:cs="Times New Roman"/>
                          <w:bCs/>
                          <w:szCs w:val="20"/>
                          <w:lang w:val="en-GB" w:eastAsia="en-GB"/>
                        </w:rPr>
                      </w:pPr>
                      <w:r w:rsidRPr="007C7C3E">
                        <w:rPr>
                          <w:rFonts w:ascii="Times New Roman" w:eastAsia="DengXian" w:hAnsi="Times New Roman" w:cs="Times New Roman"/>
                          <w:bCs/>
                          <w:szCs w:val="20"/>
                          <w:lang w:val="en-GB" w:eastAsia="en-GB"/>
                        </w:rPr>
                        <w:t>Introduce physical layer procedures and requirements to enable low band carrier aggregation via switching according to the following objectives:</w:t>
                      </w:r>
                    </w:p>
                    <w:p w14:paraId="685D1C21" w14:textId="77777777" w:rsidR="007C7C3E" w:rsidRPr="004A1B01"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eastAsia="en-GB"/>
                        </w:rPr>
                      </w:pPr>
                      <w:r w:rsidRPr="007C7C3E">
                        <w:rPr>
                          <w:rFonts w:ascii="Times New Roman" w:eastAsia="DengXian" w:hAnsi="Times New Roman" w:cs="Times New Roman"/>
                          <w:bCs/>
                          <w:szCs w:val="20"/>
                          <w:lang w:val="en-GB" w:eastAsia="en-GB"/>
                        </w:rPr>
                        <w:t>-</w:t>
                      </w:r>
                      <w:r w:rsidRPr="007C7C3E">
                        <w:rPr>
                          <w:rFonts w:ascii="Times New Roman" w:eastAsia="DengXian" w:hAnsi="Times New Roman" w:cs="Times New Roman"/>
                          <w:bCs/>
                          <w:szCs w:val="20"/>
                          <w:lang w:val="en-GB" w:eastAsia="en-GB"/>
                        </w:rPr>
                        <w:tab/>
                      </w:r>
                      <w:r w:rsidRPr="004A1B01">
                        <w:rPr>
                          <w:rFonts w:ascii="Times New Roman" w:eastAsia="DengXian" w:hAnsi="Times New Roman" w:cs="Times New Roman"/>
                          <w:szCs w:val="20"/>
                          <w:lang w:val="en-GB" w:eastAsia="en-GB"/>
                        </w:rPr>
                        <w:t>Specify UE requirements, including at least switching gap (if needed), and corresponding physical layer procedures to allow switching between {case 1, case 2} [RAN4, RAN1]</w:t>
                      </w:r>
                    </w:p>
                    <w:p w14:paraId="570D05D6" w14:textId="77777777" w:rsidR="007C7C3E" w:rsidRPr="004A1B01"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Case 1: Tx/Rx on FDD carrier 1 and no Rx on SDL carrier 2</w:t>
                      </w:r>
                    </w:p>
                    <w:p w14:paraId="29A5D981" w14:textId="77777777" w:rsidR="007C7C3E" w:rsidRPr="004A1B01"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Case 2: Rx on SDL carrier 2 and no Tx/Rx on FDD carrier 1</w:t>
                      </w:r>
                    </w:p>
                    <w:p w14:paraId="5A95FFE1"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w:t>
                      </w:r>
                      <w:r w:rsidRPr="004A1B01">
                        <w:rPr>
                          <w:rFonts w:ascii="Times New Roman" w:eastAsia="DengXian" w:hAnsi="Times New Roman" w:cs="Times New Roman"/>
                          <w:szCs w:val="20"/>
                          <w:lang w:val="en-GB" w:eastAsia="en-GB"/>
                        </w:rPr>
                        <w:tab/>
                        <w:t>RAN1 to specify only a semi-static switching pattern based on RRC configuration, liaising with RAN2 and RAN4 as necessary</w:t>
                      </w:r>
                    </w:p>
                    <w:p w14:paraId="478648A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the switching delay and time mask for carrier switching [RAN4]</w:t>
                      </w:r>
                    </w:p>
                    <w:p w14:paraId="059E40C8"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Specify necessary RRM requirements [RAN4]</w:t>
                      </w:r>
                    </w:p>
                    <w:p w14:paraId="2327F3C7"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r>
                      <w:r w:rsidRPr="007C7C3E">
                        <w:rPr>
                          <w:rFonts w:ascii="Times New Roman" w:eastAsia="DengXian" w:hAnsi="Times New Roman" w:cs="Times New Roman"/>
                          <w:szCs w:val="20"/>
                          <w:highlight w:val="yellow"/>
                          <w:lang w:val="en-GB" w:eastAsia="en-GB"/>
                        </w:rPr>
                        <w:t>Define the corresponding UE capabilities</w:t>
                      </w:r>
                      <w:r w:rsidRPr="007C7C3E">
                        <w:rPr>
                          <w:rFonts w:ascii="Times New Roman" w:eastAsia="DengXian" w:hAnsi="Times New Roman" w:cs="Times New Roman"/>
                          <w:szCs w:val="20"/>
                          <w:lang w:val="en-GB" w:eastAsia="en-GB"/>
                        </w:rPr>
                        <w:t xml:space="preserve"> [RAN4, RAN2, </w:t>
                      </w:r>
                      <w:r w:rsidRPr="007C7C3E">
                        <w:rPr>
                          <w:rFonts w:ascii="Times New Roman" w:eastAsia="DengXian" w:hAnsi="Times New Roman" w:cs="Times New Roman"/>
                          <w:szCs w:val="20"/>
                          <w:highlight w:val="yellow"/>
                          <w:lang w:val="en-GB" w:eastAsia="en-GB"/>
                        </w:rPr>
                        <w:t>RAN1</w:t>
                      </w:r>
                      <w:r w:rsidRPr="007C7C3E">
                        <w:rPr>
                          <w:rFonts w:ascii="Times New Roman" w:eastAsia="DengXian" w:hAnsi="Times New Roman" w:cs="Times New Roman"/>
                          <w:szCs w:val="20"/>
                          <w:lang w:val="en-GB" w:eastAsia="en-GB"/>
                        </w:rPr>
                        <w:t>]</w:t>
                      </w:r>
                    </w:p>
                    <w:p w14:paraId="4EBFD8D5"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Consider the following deployment constraints:</w:t>
                      </w:r>
                    </w:p>
                    <w:p w14:paraId="30EE3E6B"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The carrier frequency for all cases is &lt;1 GHz</w:t>
                      </w:r>
                    </w:p>
                    <w:p w14:paraId="3EDD5CF2"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Co-located and synchronized network deployment for both carriers</w:t>
                      </w:r>
                    </w:p>
                    <w:p w14:paraId="4D439418"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Both carriers are in a single TAG</w:t>
                      </w:r>
                    </w:p>
                    <w:p w14:paraId="349530F0" w14:textId="77777777" w:rsidR="007C7C3E" w:rsidRPr="007C7C3E" w:rsidRDefault="007C7C3E" w:rsidP="007C7C3E">
                      <w:pPr>
                        <w:overflowPunct w:val="0"/>
                        <w:autoSpaceDE w:val="0"/>
                        <w:autoSpaceDN w:val="0"/>
                        <w:adjustRightInd w:val="0"/>
                        <w:spacing w:after="180" w:line="240" w:lineRule="auto"/>
                        <w:ind w:left="851"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w:t>
                      </w:r>
                      <w:r w:rsidRPr="007C7C3E">
                        <w:rPr>
                          <w:rFonts w:ascii="Times New Roman" w:eastAsia="DengXian" w:hAnsi="Times New Roman" w:cs="Times New Roman"/>
                          <w:szCs w:val="20"/>
                          <w:lang w:val="en-GB" w:eastAsia="en-GB"/>
                        </w:rPr>
                        <w:tab/>
                        <w:t>SCS 15KHz on both carriers</w:t>
                      </w:r>
                    </w:p>
                    <w:p w14:paraId="5A834752"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7C7C3E">
                        <w:rPr>
                          <w:rFonts w:ascii="Times New Roman" w:eastAsia="DengXian" w:hAnsi="Times New Roman" w:cs="Times New Roman"/>
                          <w:szCs w:val="20"/>
                          <w:lang w:val="en-GB" w:eastAsia="en-GB"/>
                        </w:rPr>
                        <w:t>Note 1: Specify requirements for the feature with the following example band combination: CA_n5A-n29A in this WI, with additional band combinations to be handled via the basket work item approach</w:t>
                      </w:r>
                    </w:p>
                    <w:p w14:paraId="7953F059" w14:textId="77777777" w:rsidR="007C7C3E" w:rsidRPr="007C7C3E" w:rsidRDefault="007C7C3E" w:rsidP="007C7C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Cs w:val="20"/>
                          <w:lang w:val="en-GB" w:eastAsia="en-GB"/>
                        </w:rPr>
                      </w:pPr>
                      <w:r w:rsidRPr="004A1B01">
                        <w:rPr>
                          <w:rFonts w:ascii="Times New Roman" w:eastAsia="DengXian" w:hAnsi="Times New Roman" w:cs="Times New Roman"/>
                          <w:szCs w:val="20"/>
                          <w:lang w:val="en-GB" w:eastAsia="en-GB"/>
                        </w:rPr>
                        <w:t>Note 2: Strive to minimize the RAN1 impact</w:t>
                      </w:r>
                    </w:p>
                    <w:p w14:paraId="2201A149" w14:textId="15A61907" w:rsidR="00155750" w:rsidRDefault="00155750"/>
                  </w:txbxContent>
                </v:textbox>
                <w10:wrap type="topAndBottom" anchorx="margin"/>
              </v:shape>
            </w:pict>
          </mc:Fallback>
        </mc:AlternateContent>
      </w:r>
      <w:r w:rsidR="003413BA">
        <w:t>The</w:t>
      </w:r>
      <w:r w:rsidR="00C005B9">
        <w:t xml:space="preserve"> WID for</w:t>
      </w:r>
      <w:r>
        <w:t xml:space="preserve"> low band carrier aggregation via switching</w:t>
      </w:r>
      <w:r w:rsidR="00C005B9">
        <w:t xml:space="preserve"> </w:t>
      </w:r>
      <w:r w:rsidR="003642EB">
        <w:fldChar w:fldCharType="begin"/>
      </w:r>
      <w:r w:rsidR="003642EB">
        <w:instrText xml:space="preserve"> REF _Ref197526471 \r \h </w:instrText>
      </w:r>
      <w:r w:rsidR="003642EB">
        <w:fldChar w:fldCharType="separate"/>
      </w:r>
      <w:r w:rsidR="003642EB">
        <w:t>[1]</w:t>
      </w:r>
      <w:r w:rsidR="003642EB">
        <w:fldChar w:fldCharType="end"/>
      </w:r>
      <w:r w:rsidR="003642EB">
        <w:t xml:space="preserve"> </w:t>
      </w:r>
      <w:r w:rsidR="00F472B6">
        <w:t xml:space="preserve">contains </w:t>
      </w:r>
      <w:r>
        <w:t>the following objectives, where the highlighted part</w:t>
      </w:r>
      <w:r w:rsidR="003642EB">
        <w:t xml:space="preserve"> is relevant to the UE feature discussion in RAN1:</w:t>
      </w:r>
    </w:p>
    <w:p w14:paraId="785EA329" w14:textId="77777777" w:rsidR="007C7C3E" w:rsidRDefault="007C7C3E" w:rsidP="00F472B6">
      <w:pPr>
        <w:pStyle w:val="BodyText"/>
      </w:pPr>
    </w:p>
    <w:p w14:paraId="3366B992" w14:textId="2DC63E92" w:rsidR="00F472B6" w:rsidRDefault="007C7C3E" w:rsidP="00F472B6">
      <w:pPr>
        <w:pStyle w:val="BodyText"/>
      </w:pPr>
      <w:r>
        <w:t>In this contribution we discuss a simple solution for definition of the semi-static switching pattern</w:t>
      </w:r>
      <w:r w:rsidR="003413BA">
        <w:t>.</w:t>
      </w:r>
    </w:p>
    <w:p w14:paraId="79F534CF" w14:textId="4138C879" w:rsidR="004A1B01" w:rsidRDefault="004A1B01" w:rsidP="004A1B01">
      <w:pPr>
        <w:pStyle w:val="Heading1"/>
      </w:pPr>
      <w:r>
        <w:t>2</w:t>
      </w:r>
      <w:r>
        <w:tab/>
      </w:r>
      <w:r w:rsidRPr="004A1B01">
        <w:t>Needed</w:t>
      </w:r>
      <w:r>
        <w:t xml:space="preserve"> Feature Groups</w:t>
      </w:r>
    </w:p>
    <w:p w14:paraId="4E02A68D" w14:textId="77777777" w:rsidR="004A1B01" w:rsidRDefault="004A1B01" w:rsidP="004A1B01">
      <w:pPr>
        <w:rPr>
          <w:lang w:val="en-GB" w:eastAsia="ja-JP"/>
        </w:rPr>
      </w:pPr>
    </w:p>
    <w:p w14:paraId="1A8B1FA3" w14:textId="3C16079B" w:rsidR="004A1B01" w:rsidRDefault="004A1B01" w:rsidP="003642EB">
      <w:pPr>
        <w:jc w:val="both"/>
        <w:rPr>
          <w:lang w:val="en-GB" w:eastAsia="ja-JP"/>
        </w:rPr>
      </w:pPr>
      <w:r>
        <w:rPr>
          <w:lang w:val="en-GB" w:eastAsia="ja-JP"/>
        </w:rPr>
        <w:lastRenderedPageBreak/>
        <w:t xml:space="preserve">In our view, for a feature as simple as this one, there is a need for </w:t>
      </w:r>
      <w:r w:rsidR="00D7516C">
        <w:rPr>
          <w:lang w:val="en-GB" w:eastAsia="ja-JP"/>
        </w:rPr>
        <w:t xml:space="preserve">only </w:t>
      </w:r>
      <w:r>
        <w:rPr>
          <w:lang w:val="en-GB" w:eastAsia="ja-JP"/>
        </w:rPr>
        <w:t xml:space="preserve">a single feature group that includes the basic description of the </w:t>
      </w:r>
      <w:proofErr w:type="spellStart"/>
      <w:r>
        <w:rPr>
          <w:lang w:val="en-GB" w:eastAsia="ja-JP"/>
        </w:rPr>
        <w:t>lowband</w:t>
      </w:r>
      <w:proofErr w:type="spellEnd"/>
      <w:r>
        <w:rPr>
          <w:lang w:val="en-GB" w:eastAsia="ja-JP"/>
        </w:rPr>
        <w:t xml:space="preserve"> carrier aggregation via switching feature. We don’t see a need for additional optional feature groups. The only exception is dependent on </w:t>
      </w:r>
      <w:r w:rsidR="003642EB">
        <w:rPr>
          <w:lang w:val="en-GB" w:eastAsia="ja-JP"/>
        </w:rPr>
        <w:t xml:space="preserve">what </w:t>
      </w:r>
      <w:r>
        <w:rPr>
          <w:lang w:val="en-GB" w:eastAsia="ja-JP"/>
        </w:rPr>
        <w:t xml:space="preserve">down-selection </w:t>
      </w:r>
      <w:r w:rsidR="003642EB">
        <w:rPr>
          <w:lang w:val="en-GB" w:eastAsia="ja-JP"/>
        </w:rPr>
        <w:t xml:space="preserve">is agreed in RAN1 for </w:t>
      </w:r>
      <w:r>
        <w:rPr>
          <w:lang w:val="en-GB" w:eastAsia="ja-JP"/>
        </w:rPr>
        <w:t>the following agreement from RAN1#120bis:</w:t>
      </w:r>
    </w:p>
    <w:p w14:paraId="097E6190" w14:textId="77777777" w:rsidR="004A1B01" w:rsidRPr="00265DE5" w:rsidRDefault="004A1B01" w:rsidP="004A1B01">
      <w:pPr>
        <w:spacing w:after="0" w:line="240" w:lineRule="auto"/>
        <w:ind w:left="567"/>
        <w:rPr>
          <w:rFonts w:ascii="Times" w:eastAsia="DengXian" w:hAnsi="Times" w:cs="Times New Roman"/>
          <w:szCs w:val="24"/>
          <w:highlight w:val="green"/>
          <w:lang w:val="en-GB" w:eastAsia="zh-CN"/>
        </w:rPr>
      </w:pPr>
      <w:r w:rsidRPr="00265DE5">
        <w:rPr>
          <w:rFonts w:ascii="Times" w:eastAsia="DengXian" w:hAnsi="Times" w:cs="Times New Roman" w:hint="eastAsia"/>
          <w:szCs w:val="24"/>
          <w:highlight w:val="green"/>
          <w:lang w:val="en-GB" w:eastAsia="zh-CN"/>
        </w:rPr>
        <w:t>Agreement</w:t>
      </w:r>
    </w:p>
    <w:p w14:paraId="507190ED" w14:textId="77777777" w:rsidR="004A1B01" w:rsidRPr="00265DE5" w:rsidRDefault="004A1B01" w:rsidP="004A1B01">
      <w:pPr>
        <w:spacing w:after="0" w:line="240" w:lineRule="auto"/>
        <w:ind w:left="567"/>
        <w:contextualSpacing/>
        <w:rPr>
          <w:rFonts w:ascii="Times" w:eastAsia="Batang" w:hAnsi="Times" w:cs="Times New Roman"/>
          <w:color w:val="000000"/>
          <w:szCs w:val="24"/>
          <w:lang w:val="en-GB"/>
        </w:rPr>
      </w:pPr>
      <w:r w:rsidRPr="00265DE5">
        <w:rPr>
          <w:rFonts w:ascii="Times" w:eastAsia="Batang" w:hAnsi="Times" w:cs="Times New Roman"/>
          <w:color w:val="000000"/>
          <w:szCs w:val="24"/>
          <w:lang w:val="en-GB"/>
        </w:rPr>
        <w:t xml:space="preserve">For RRC configuration of semi-static switching pattern in Rel-19 low NR band carrier aggregation via switching, regarding the location of the switching gap, </w:t>
      </w:r>
    </w:p>
    <w:p w14:paraId="2FD1B61B" w14:textId="77777777" w:rsidR="004A1B01" w:rsidRPr="00265DE5" w:rsidRDefault="004A1B01" w:rsidP="004A1B01">
      <w:pPr>
        <w:numPr>
          <w:ilvl w:val="0"/>
          <w:numId w:val="23"/>
        </w:numPr>
        <w:spacing w:after="120" w:line="240" w:lineRule="auto"/>
        <w:ind w:left="128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eastAsia="zh-CN"/>
        </w:rPr>
        <w:t>For switching from SDL carrier to FDD carrier, the switching gap is always assumed at the “switch from” carrier, i.e., SDL carrier.</w:t>
      </w:r>
    </w:p>
    <w:p w14:paraId="1B43F3C4" w14:textId="77777777" w:rsidR="004A1B01" w:rsidRPr="00265DE5" w:rsidRDefault="004A1B01" w:rsidP="004A1B01">
      <w:pPr>
        <w:numPr>
          <w:ilvl w:val="0"/>
          <w:numId w:val="23"/>
        </w:numPr>
        <w:spacing w:after="120" w:line="240" w:lineRule="auto"/>
        <w:ind w:left="128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 xml:space="preserve">For switching from FDD carrier to SDL carrier, </w:t>
      </w:r>
      <w:proofErr w:type="spellStart"/>
      <w:r w:rsidRPr="00265DE5">
        <w:rPr>
          <w:rFonts w:ascii="Times" w:eastAsia="Batang" w:hAnsi="Times" w:cs="Times New Roman"/>
          <w:color w:val="000000"/>
          <w:szCs w:val="24"/>
          <w:lang w:val="en-GB" w:eastAsia="x-none"/>
        </w:rPr>
        <w:t>downselect</w:t>
      </w:r>
      <w:proofErr w:type="spellEnd"/>
      <w:r w:rsidRPr="00265DE5">
        <w:rPr>
          <w:rFonts w:ascii="Times" w:eastAsia="Batang" w:hAnsi="Times" w:cs="Times New Roman"/>
          <w:color w:val="000000"/>
          <w:szCs w:val="24"/>
          <w:lang w:val="en-GB" w:eastAsia="x-none"/>
        </w:rPr>
        <w:t xml:space="preserve"> one of the following solutions </w:t>
      </w:r>
    </w:p>
    <w:p w14:paraId="18EB6465" w14:textId="77777777" w:rsidR="004A1B01" w:rsidRPr="00265DE5" w:rsidRDefault="004A1B01" w:rsidP="004A1B01">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1: Switching gap is always assumed at the “switch from” carrier, i.e., FDD carrier</w:t>
      </w:r>
    </w:p>
    <w:p w14:paraId="19774764" w14:textId="77777777" w:rsidR="004A1B01" w:rsidRPr="00265DE5" w:rsidRDefault="004A1B01" w:rsidP="004A1B01">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2: NW configures whether the switching gap is at the FDD carrier or SDL carrier</w:t>
      </w:r>
    </w:p>
    <w:p w14:paraId="0FFA92DC" w14:textId="77777777" w:rsidR="004A1B01" w:rsidRPr="00265DE5" w:rsidRDefault="004A1B01" w:rsidP="004A1B01">
      <w:pPr>
        <w:numPr>
          <w:ilvl w:val="1"/>
          <w:numId w:val="23"/>
        </w:numPr>
        <w:spacing w:after="120" w:line="240" w:lineRule="auto"/>
        <w:ind w:left="2007"/>
        <w:contextualSpacing/>
        <w:jc w:val="both"/>
        <w:rPr>
          <w:rFonts w:ascii="Times" w:eastAsia="Batang" w:hAnsi="Times" w:cs="Times New Roman"/>
          <w:color w:val="000000"/>
          <w:szCs w:val="24"/>
          <w:lang w:eastAsia="zh-CN"/>
        </w:rPr>
      </w:pPr>
      <w:r w:rsidRPr="00265DE5">
        <w:rPr>
          <w:rFonts w:ascii="Times" w:eastAsia="Batang" w:hAnsi="Times" w:cs="Times New Roman"/>
          <w:color w:val="000000"/>
          <w:szCs w:val="24"/>
          <w:lang w:val="en-GB" w:eastAsia="x-none"/>
        </w:rPr>
        <w:t>Alt 3: Switching gap is always assumed at the SDL carrier</w:t>
      </w:r>
    </w:p>
    <w:p w14:paraId="2C149D0B" w14:textId="77777777" w:rsidR="004A1B01" w:rsidRDefault="004A1B01" w:rsidP="004A1B01">
      <w:pPr>
        <w:rPr>
          <w:lang w:val="en-GB" w:eastAsia="ja-JP"/>
        </w:rPr>
      </w:pPr>
    </w:p>
    <w:p w14:paraId="2410B73F" w14:textId="3CE91167" w:rsidR="004A1B01" w:rsidRDefault="004A1B01" w:rsidP="003642EB">
      <w:pPr>
        <w:jc w:val="both"/>
        <w:rPr>
          <w:lang w:val="en-GB" w:eastAsia="ja-JP"/>
        </w:rPr>
      </w:pPr>
      <w:r>
        <w:rPr>
          <w:lang w:val="en-GB" w:eastAsia="ja-JP"/>
        </w:rPr>
        <w:t>If Alt-2 happens to be down-selected (not our preference), then if a UE supports the LB CA switching feature, it shall be mandatory for the UE to support the switching gap on the “switch from” carrier</w:t>
      </w:r>
      <w:r w:rsidR="003642EB">
        <w:rPr>
          <w:lang w:val="en-GB" w:eastAsia="ja-JP"/>
        </w:rPr>
        <w:t xml:space="preserve"> </w:t>
      </w:r>
      <w:r>
        <w:rPr>
          <w:lang w:val="en-GB" w:eastAsia="ja-JP"/>
        </w:rPr>
        <w:t>to avoid a dependency on other optional UE features such as cross-carrier scheduling.</w:t>
      </w:r>
      <w:r w:rsidR="003642EB">
        <w:rPr>
          <w:lang w:val="en-GB" w:eastAsia="ja-JP"/>
        </w:rPr>
        <w:t xml:space="preserve"> If Alt-1 is agreed, no additional feature groups are needed. </w:t>
      </w:r>
    </w:p>
    <w:p w14:paraId="160B4D69" w14:textId="24595695" w:rsidR="003642EB" w:rsidRDefault="004A1B01" w:rsidP="003642EB">
      <w:pPr>
        <w:pStyle w:val="Proposal"/>
        <w:rPr>
          <w:lang w:val="en-GB"/>
        </w:rPr>
      </w:pPr>
      <w:bookmarkStart w:id="1" w:name="_Toc197694569"/>
      <w:r>
        <w:rPr>
          <w:lang w:val="en-GB"/>
        </w:rPr>
        <w:t xml:space="preserve">Support a </w:t>
      </w:r>
      <w:r w:rsidR="003642EB">
        <w:rPr>
          <w:lang w:val="en-GB"/>
        </w:rPr>
        <w:t>basic</w:t>
      </w:r>
      <w:r>
        <w:rPr>
          <w:lang w:val="en-GB"/>
        </w:rPr>
        <w:t xml:space="preserve"> feature group for the </w:t>
      </w:r>
      <w:proofErr w:type="spellStart"/>
      <w:r w:rsidR="0008106D">
        <w:rPr>
          <w:lang w:val="en-GB"/>
        </w:rPr>
        <w:t>l</w:t>
      </w:r>
      <w:r>
        <w:rPr>
          <w:lang w:val="en-GB"/>
        </w:rPr>
        <w:t>owband</w:t>
      </w:r>
      <w:proofErr w:type="spellEnd"/>
      <w:r>
        <w:rPr>
          <w:lang w:val="en-GB"/>
        </w:rPr>
        <w:t xml:space="preserve"> CA via switching feature with mandatory support for the switching gap</w:t>
      </w:r>
      <w:r w:rsidR="003642EB">
        <w:rPr>
          <w:lang w:val="en-GB"/>
        </w:rPr>
        <w:t xml:space="preserve"> located on the “switch from” carrier. If Alt-1 is supported in the RAN1#120bis agreement, there is no need to define additional optional feature groups.</w:t>
      </w:r>
      <w:bookmarkEnd w:id="1"/>
    </w:p>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321445" w14:textId="460ACA9E" w:rsidR="00CC7709"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7694569" w:history="1">
        <w:r w:rsidR="00CC7709" w:rsidRPr="00214014">
          <w:rPr>
            <w:rStyle w:val="Hyperlink"/>
            <w:noProof/>
            <w:lang w:val="en-GB"/>
          </w:rPr>
          <w:t>Proposal 1</w:t>
        </w:r>
        <w:r w:rsidR="00CC7709">
          <w:rPr>
            <w:rFonts w:asciiTheme="minorHAnsi" w:eastAsiaTheme="minorEastAsia" w:hAnsiTheme="minorHAnsi"/>
            <w:b w:val="0"/>
            <w:noProof/>
            <w:kern w:val="2"/>
            <w:sz w:val="24"/>
            <w:szCs w:val="24"/>
            <w:lang w:eastAsia="en-US"/>
            <w14:ligatures w14:val="standardContextual"/>
          </w:rPr>
          <w:tab/>
        </w:r>
        <w:r w:rsidR="00CC7709" w:rsidRPr="00214014">
          <w:rPr>
            <w:rStyle w:val="Hyperlink"/>
            <w:noProof/>
            <w:lang w:val="en-GB"/>
          </w:rPr>
          <w:t>Support a basic feature group for the lowband CA via switching feature with mandatory support for the switching gap located on the “switch from” carrier. If Alt-1 is supported in the RAN1#120bis agreement, there is no need to define additional optional feature groups.</w:t>
        </w:r>
      </w:hyperlink>
    </w:p>
    <w:p w14:paraId="58ACA235" w14:textId="6A407068"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2" w:name="_In-sequence_SDU_delivery"/>
      <w:bookmarkEnd w:id="2"/>
      <w:r w:rsidRPr="00B27750">
        <w:rPr>
          <w:lang w:val="en-US"/>
        </w:rPr>
        <w:t>References</w:t>
      </w:r>
    </w:p>
    <w:p w14:paraId="61907C25" w14:textId="4BAA5522" w:rsidR="003A7EF3" w:rsidRDefault="00155750" w:rsidP="00155750">
      <w:pPr>
        <w:pStyle w:val="Reference"/>
      </w:pPr>
      <w:bookmarkStart w:id="3" w:name="_Ref197526471"/>
      <w:r w:rsidRPr="00155750">
        <w:t>RP-243317</w:t>
      </w:r>
      <w:r>
        <w:t>, “</w:t>
      </w:r>
      <w:r w:rsidRPr="00155750">
        <w:t>New WID on low band carrier aggregation via switching</w:t>
      </w:r>
      <w:r>
        <w:t>,” Rapporteur (AT&amp;T), December 2024.</w:t>
      </w:r>
      <w:bookmarkEnd w:id="3"/>
    </w:p>
    <w:sectPr w:rsidR="003A7EF3" w:rsidSect="003E5114">
      <w:headerReference w:type="even" r:id="rId13"/>
      <w:footerReference w:type="default" r:id="rId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7"/>
  </w:num>
  <w:num w:numId="2" w16cid:durableId="1349257284">
    <w:abstractNumId w:val="13"/>
  </w:num>
  <w:num w:numId="3" w16cid:durableId="1443456286">
    <w:abstractNumId w:val="0"/>
  </w:num>
  <w:num w:numId="4" w16cid:durableId="890460132">
    <w:abstractNumId w:val="19"/>
  </w:num>
  <w:num w:numId="5" w16cid:durableId="583606529">
    <w:abstractNumId w:val="20"/>
  </w:num>
  <w:num w:numId="6" w16cid:durableId="450562996">
    <w:abstractNumId w:val="8"/>
  </w:num>
  <w:num w:numId="7" w16cid:durableId="772214637">
    <w:abstractNumId w:val="4"/>
  </w:num>
  <w:num w:numId="8" w16cid:durableId="1500537096">
    <w:abstractNumId w:val="25"/>
  </w:num>
  <w:num w:numId="9" w16cid:durableId="173231599">
    <w:abstractNumId w:val="10"/>
  </w:num>
  <w:num w:numId="10" w16cid:durableId="755903588">
    <w:abstractNumId w:val="24"/>
  </w:num>
  <w:num w:numId="11" w16cid:durableId="1304853264">
    <w:abstractNumId w:val="1"/>
  </w:num>
  <w:num w:numId="12" w16cid:durableId="478347608">
    <w:abstractNumId w:val="2"/>
  </w:num>
  <w:num w:numId="13" w16cid:durableId="1831945402">
    <w:abstractNumId w:val="11"/>
  </w:num>
  <w:num w:numId="14" w16cid:durableId="1090543183">
    <w:abstractNumId w:val="16"/>
  </w:num>
  <w:num w:numId="15" w16cid:durableId="1651901064">
    <w:abstractNumId w:val="14"/>
  </w:num>
  <w:num w:numId="16" w16cid:durableId="1619986160">
    <w:abstractNumId w:val="18"/>
  </w:num>
  <w:num w:numId="17" w16cid:durableId="729310949">
    <w:abstractNumId w:val="7"/>
  </w:num>
  <w:num w:numId="18" w16cid:durableId="1267882122">
    <w:abstractNumId w:val="23"/>
  </w:num>
  <w:num w:numId="19" w16cid:durableId="478494706">
    <w:abstractNumId w:val="3"/>
  </w:num>
  <w:num w:numId="20" w16cid:durableId="1833713328">
    <w:abstractNumId w:val="15"/>
  </w:num>
  <w:num w:numId="21" w16cid:durableId="1568765797">
    <w:abstractNumId w:val="22"/>
  </w:num>
  <w:num w:numId="22" w16cid:durableId="1700739850">
    <w:abstractNumId w:val="6"/>
  </w:num>
  <w:num w:numId="23" w16cid:durableId="409037868">
    <w:abstractNumId w:val="5"/>
  </w:num>
  <w:num w:numId="24" w16cid:durableId="1053116408">
    <w:abstractNumId w:val="9"/>
  </w:num>
  <w:num w:numId="25" w16cid:durableId="1749158742">
    <w:abstractNumId w:val="12"/>
  </w:num>
  <w:num w:numId="26" w16cid:durableId="1825004578">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06D"/>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2EB"/>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2D4"/>
    <w:rsid w:val="00420046"/>
    <w:rsid w:val="004200D3"/>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313EE"/>
    <w:rsid w:val="004314A6"/>
    <w:rsid w:val="004315EA"/>
    <w:rsid w:val="00431824"/>
    <w:rsid w:val="00431FFA"/>
    <w:rsid w:val="004325E2"/>
    <w:rsid w:val="004328B7"/>
    <w:rsid w:val="00432B59"/>
    <w:rsid w:val="00432FDA"/>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1B01"/>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CB4"/>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51E"/>
    <w:rsid w:val="006A78C8"/>
    <w:rsid w:val="006A7AFF"/>
    <w:rsid w:val="006B09BE"/>
    <w:rsid w:val="006B1816"/>
    <w:rsid w:val="006B1A02"/>
    <w:rsid w:val="006B1AC8"/>
    <w:rsid w:val="006B1FD3"/>
    <w:rsid w:val="006B2099"/>
    <w:rsid w:val="006B2615"/>
    <w:rsid w:val="006B266A"/>
    <w:rsid w:val="006B3201"/>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4050"/>
    <w:rsid w:val="008642A4"/>
    <w:rsid w:val="008643D0"/>
    <w:rsid w:val="00864E1D"/>
    <w:rsid w:val="008650E4"/>
    <w:rsid w:val="00865D08"/>
    <w:rsid w:val="00866982"/>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5324"/>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768F"/>
    <w:rsid w:val="00B97BEA"/>
    <w:rsid w:val="00BA0277"/>
    <w:rsid w:val="00BA0320"/>
    <w:rsid w:val="00BA05E6"/>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4DE"/>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709"/>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16C"/>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A89"/>
    <w:rsid w:val="00D84BBF"/>
    <w:rsid w:val="00D84F83"/>
    <w:rsid w:val="00D85625"/>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3C9D"/>
    <w:rsid w:val="00DD41E6"/>
    <w:rsid w:val="00DD4AB8"/>
    <w:rsid w:val="00DD587E"/>
    <w:rsid w:val="00DD681D"/>
    <w:rsid w:val="00DD6A0A"/>
    <w:rsid w:val="00DD6F4D"/>
    <w:rsid w:val="00DD7787"/>
    <w:rsid w:val="00DD7840"/>
    <w:rsid w:val="00DD7C00"/>
    <w:rsid w:val="00DE0005"/>
    <w:rsid w:val="00DE05A3"/>
    <w:rsid w:val="00DE079B"/>
    <w:rsid w:val="00DE1082"/>
    <w:rsid w:val="00DE12F6"/>
    <w:rsid w:val="00DE1646"/>
    <w:rsid w:val="00DE188F"/>
    <w:rsid w:val="00DE2090"/>
    <w:rsid w:val="00DE2961"/>
    <w:rsid w:val="00DE2BB5"/>
    <w:rsid w:val="00DE328B"/>
    <w:rsid w:val="00DE340D"/>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6B0"/>
    <w:rsid w:val="00EB4CD3"/>
    <w:rsid w:val="00EB4EA2"/>
    <w:rsid w:val="00EB4EDE"/>
    <w:rsid w:val="00EB4F1A"/>
    <w:rsid w:val="00EB4F68"/>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5NUHHDQN7SK2-1476151046-570284</_dlc_DocId>
    <_dlc_DocIdUrl xmlns="f166a696-7b5b-4ccd-9f0c-ffde0cceec81">
      <Url>https://ericsson.sharepoint.com/sites/star/_layouts/15/DocIdRedir.aspx?ID=5NUHHDQN7SK2-1476151046-570284</Url>
      <Description>5NUHHDQN7SK2-1476151046-570284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2F9D0-C43B-4E2E-898A-A59CB02A072E}">
  <ds:schemaRefs>
    <ds:schemaRef ds:uri="http://schemas.microsoft.com/office/infopath/2007/PartnerControls"/>
    <ds:schemaRef ds:uri="http://schemas.microsoft.com/office/2006/documentManagement/types"/>
    <ds:schemaRef ds:uri="http://schemas.microsoft.com/office/2006/metadata/properties"/>
    <ds:schemaRef ds:uri="http://schemas.microsoft.com/sharepoint/v4"/>
    <ds:schemaRef ds:uri="d8762117-8292-4133-b1c7-eab5c6487cfd"/>
    <ds:schemaRef ds:uri="http://schemas.openxmlformats.org/package/2006/metadata/core-properties"/>
    <ds:schemaRef ds:uri="http://www.w3.org/XML/1998/namespace"/>
    <ds:schemaRef ds:uri="f166a696-7b5b-4ccd-9f0c-ffde0cceec81"/>
    <ds:schemaRef ds:uri="http://purl.org/dc/elements/1.1/"/>
    <ds:schemaRef ds:uri="611109f9-ed58-4498-a270-1fb2086a5321"/>
    <ds:schemaRef ds:uri="http://purl.org/dc/dcmitype/"/>
    <ds:schemaRef ds:uri="http://purl.org/dc/terms/"/>
  </ds:schemaRefs>
</ds:datastoreItem>
</file>

<file path=customXml/itemProps2.xml><?xml version="1.0" encoding="utf-8"?>
<ds:datastoreItem xmlns:ds="http://schemas.openxmlformats.org/officeDocument/2006/customXml" ds:itemID="{960624EB-8177-4CD7-9852-76978623F9D4}">
  <ds:schemaRefs>
    <ds:schemaRef ds:uri="http://schemas.microsoft.com/sharepoint/events"/>
  </ds:schemaRefs>
</ds:datastoreItem>
</file>

<file path=customXml/itemProps3.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4.xml><?xml version="1.0" encoding="utf-8"?>
<ds:datastoreItem xmlns:ds="http://schemas.openxmlformats.org/officeDocument/2006/customXml" ds:itemID="{9DF87EB6-0AA9-4F4E-9DA4-C6E9848C9208}">
  <ds:schemaRefs>
    <ds:schemaRef ds:uri="Microsoft.SharePoint.Taxonomy.ContentTypeSync"/>
  </ds:schemaRefs>
</ds:datastoreItem>
</file>

<file path=customXml/itemProps5.xml><?xml version="1.0" encoding="utf-8"?>
<ds:datastoreItem xmlns:ds="http://schemas.openxmlformats.org/officeDocument/2006/customXml" ds:itemID="{1D81D7FF-9566-401B-916F-E70B2B236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13652</TotalTime>
  <Pages>2</Pages>
  <Words>421</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565</cp:revision>
  <dcterms:created xsi:type="dcterms:W3CDTF">2024-09-06T15:30:00Z</dcterms:created>
  <dcterms:modified xsi:type="dcterms:W3CDTF">2025-05-09T21:49:00Z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0x010100C5F30C9B16E14C8EACE5F2CC7B7AC7F400F5862E332FC6CE449700A00A9FC83FBA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48acc09b-37f7-46cd-95ea-21d9b2e43997</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